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19" w:rsidRPr="00463F19" w:rsidRDefault="00463F19" w:rsidP="00463F19">
      <w:pPr>
        <w:spacing w:after="0" w:line="240" w:lineRule="auto"/>
        <w:rPr>
          <w:rFonts w:ascii="Times New Roman" w:eastAsia="Times New Roman" w:hAnsi="Times New Roman" w:cs="Times New Roman"/>
          <w:sz w:val="24"/>
          <w:szCs w:val="24"/>
          <w:lang w:eastAsia="tr-TR"/>
        </w:rPr>
      </w:pPr>
    </w:p>
    <w:tbl>
      <w:tblPr>
        <w:tblW w:w="8700" w:type="dxa"/>
        <w:jc w:val="center"/>
        <w:tblCellMar>
          <w:left w:w="0" w:type="dxa"/>
          <w:right w:w="0" w:type="dxa"/>
        </w:tblCellMar>
        <w:tblLook w:val="04A0" w:firstRow="1" w:lastRow="0" w:firstColumn="1" w:lastColumn="0" w:noHBand="0" w:noVBand="1"/>
      </w:tblPr>
      <w:tblGrid>
        <w:gridCol w:w="8700"/>
      </w:tblGrid>
      <w:tr w:rsidR="00463F19" w:rsidRPr="00463F19" w:rsidTr="00463F19">
        <w:trPr>
          <w:jc w:val="center"/>
        </w:trPr>
        <w:tc>
          <w:tcPr>
            <w:tcW w:w="0" w:type="auto"/>
            <w:tcBorders>
              <w:top w:val="nil"/>
              <w:left w:val="nil"/>
              <w:bottom w:val="nil"/>
              <w:right w:val="nil"/>
            </w:tcBorders>
            <w:vAlign w:val="center"/>
            <w:hideMark/>
          </w:tcPr>
          <w:p w:rsidR="00463F19" w:rsidRPr="00463F19" w:rsidRDefault="00463F19" w:rsidP="00463F19">
            <w:pPr>
              <w:spacing w:after="0" w:line="240" w:lineRule="auto"/>
              <w:rPr>
                <w:rFonts w:ascii="Times New Roman" w:eastAsia="Times New Roman" w:hAnsi="Times New Roman" w:cs="Times New Roman"/>
                <w:sz w:val="24"/>
                <w:szCs w:val="24"/>
                <w:lang w:eastAsia="tr-TR"/>
              </w:rPr>
            </w:pPr>
            <w:r w:rsidRPr="00463F19">
              <w:rPr>
                <w:rFonts w:ascii="Times New Roman" w:eastAsia="Times New Roman" w:hAnsi="Times New Roman" w:cs="Times New Roman"/>
                <w:noProof/>
                <w:sz w:val="24"/>
                <w:szCs w:val="24"/>
                <w:lang w:eastAsia="tr-TR"/>
              </w:rPr>
              <mc:AlternateContent>
                <mc:Choice Requires="wps">
                  <w:drawing>
                    <wp:inline distT="0" distB="0" distL="0" distR="0" wp14:anchorId="6FFDEACF" wp14:editId="7B25F737">
                      <wp:extent cx="716280" cy="716280"/>
                      <wp:effectExtent l="0" t="0" r="0" b="0"/>
                      <wp:docPr id="2" name="AutoShape 2" descr="http://www.sayistay.gov.tr/resimler/saylogo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28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sayistay.gov.tr/resimler/saylogo5.gif" style="width:56.4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" filled="f" stroked="f">
                      <o:lock v:ext="edit" aspectratio="t"/>
                      <w10:anchorlock/>
                    </v:rect>
                  </w:pict>
                </mc:Fallback>
              </mc:AlternateContent>
            </w:r>
            <w:r w:rsidRPr="00463F19">
              <w:rPr>
                <w:rFonts w:ascii="Times New Roman" w:eastAsia="Times New Roman" w:hAnsi="Times New Roman" w:cs="Times New Roman"/>
                <w:sz w:val="24"/>
                <w:szCs w:val="24"/>
                <w:lang w:eastAsia="tr-TR"/>
              </w:rPr>
              <w:br/>
            </w:r>
            <w:r w:rsidRPr="00463F19">
              <w:rPr>
                <w:rFonts w:ascii="Verdana" w:eastAsia="Times New Roman" w:hAnsi="Verdana" w:cs="Times New Roman"/>
                <w:b/>
                <w:bCs/>
                <w:sz w:val="24"/>
                <w:szCs w:val="24"/>
                <w:lang w:eastAsia="tr-TR"/>
              </w:rPr>
              <w:t>Temyiz Kurulu Kararı</w:t>
            </w:r>
          </w:p>
        </w:tc>
      </w:tr>
    </w:tbl>
    <w:p w:rsidR="00463F19" w:rsidRPr="00463F19" w:rsidRDefault="00463F19" w:rsidP="00463F19">
      <w:pPr>
        <w:spacing w:after="240" w:line="240" w:lineRule="auto"/>
        <w:rPr>
          <w:rFonts w:ascii="Times New Roman" w:eastAsia="Times New Roman" w:hAnsi="Times New Roman" w:cs="Times New Roman"/>
          <w:sz w:val="24"/>
          <w:szCs w:val="24"/>
          <w:lang w:eastAsia="tr-TR"/>
        </w:rPr>
      </w:pPr>
      <w:r w:rsidRPr="00463F19">
        <w:rPr>
          <w:rFonts w:ascii="Times New Roman" w:eastAsia="Times New Roman" w:hAnsi="Times New Roman" w:cs="Times New Roman"/>
          <w:sz w:val="24"/>
          <w:szCs w:val="24"/>
          <w:lang w:eastAsia="tr-TR"/>
        </w:rPr>
        <w:br/>
      </w:r>
    </w:p>
    <w:tbl>
      <w:tblPr>
        <w:tblW w:w="8400" w:type="dxa"/>
        <w:jc w:val="center"/>
        <w:tblCellMar>
          <w:left w:w="0" w:type="dxa"/>
          <w:right w:w="0" w:type="dxa"/>
        </w:tblCellMar>
        <w:tblLook w:val="04A0" w:firstRow="1" w:lastRow="0" w:firstColumn="1" w:lastColumn="0" w:noHBand="0" w:noVBand="1"/>
      </w:tblPr>
      <w:tblGrid>
        <w:gridCol w:w="8400"/>
      </w:tblGrid>
      <w:tr w:rsidR="00463F19" w:rsidRPr="00463F19" w:rsidTr="00463F19">
        <w:trPr>
          <w:jc w:val="center"/>
        </w:trPr>
        <w:tc>
          <w:tcPr>
            <w:tcW w:w="0" w:type="auto"/>
            <w:tcBorders>
              <w:top w:val="nil"/>
              <w:left w:val="nil"/>
              <w:bottom w:val="nil"/>
              <w:right w:val="nil"/>
            </w:tcBorders>
            <w:vAlign w:val="center"/>
            <w:hideMark/>
          </w:tcPr>
          <w:p w:rsidR="00463F19" w:rsidRPr="00463F19" w:rsidRDefault="00463F19" w:rsidP="00463F19">
            <w:pPr>
              <w:spacing w:after="240" w:line="240" w:lineRule="auto"/>
              <w:rPr>
                <w:rFonts w:ascii="Times New Roman" w:eastAsia="Times New Roman" w:hAnsi="Times New Roman" w:cs="Times New Roman"/>
                <w:sz w:val="24"/>
                <w:szCs w:val="24"/>
                <w:lang w:eastAsia="tr-TR"/>
              </w:rPr>
            </w:pPr>
            <w:r w:rsidRPr="00463F19">
              <w:rPr>
                <w:rFonts w:ascii="Verdana" w:eastAsia="Times New Roman" w:hAnsi="Verdana" w:cs="Times New Roman"/>
                <w:sz w:val="20"/>
                <w:szCs w:val="20"/>
                <w:lang w:eastAsia="tr-TR"/>
              </w:rPr>
              <w:t>Saymanlık Adı : Bursa Uludağ Üniversitesi Strateji Geliştirme Daire Başkanlığı</w:t>
            </w:r>
            <w:r w:rsidRPr="00463F19">
              <w:rPr>
                <w:rFonts w:ascii="Verdana" w:eastAsia="Times New Roman" w:hAnsi="Verdana" w:cs="Times New Roman"/>
                <w:sz w:val="20"/>
                <w:szCs w:val="20"/>
                <w:lang w:eastAsia="tr-TR"/>
              </w:rPr>
              <w:br/>
              <w:t>Yılı : 2008</w:t>
            </w:r>
            <w:r w:rsidRPr="00463F19">
              <w:rPr>
                <w:rFonts w:ascii="Verdana" w:eastAsia="Times New Roman" w:hAnsi="Verdana" w:cs="Times New Roman"/>
                <w:sz w:val="20"/>
                <w:szCs w:val="20"/>
                <w:lang w:eastAsia="tr-TR"/>
              </w:rPr>
              <w:br/>
              <w:t>Dairesi : 7</w:t>
            </w:r>
            <w:r w:rsidRPr="00463F19">
              <w:rPr>
                <w:rFonts w:ascii="Verdana" w:eastAsia="Times New Roman" w:hAnsi="Verdana" w:cs="Times New Roman"/>
                <w:sz w:val="20"/>
                <w:szCs w:val="20"/>
                <w:lang w:eastAsia="tr-TR"/>
              </w:rPr>
              <w:br/>
              <w:t>İlam No : 1314</w:t>
            </w:r>
            <w:r w:rsidRPr="00463F19">
              <w:rPr>
                <w:rFonts w:ascii="Verdana" w:eastAsia="Times New Roman" w:hAnsi="Verdana" w:cs="Times New Roman"/>
                <w:sz w:val="20"/>
                <w:szCs w:val="20"/>
                <w:lang w:eastAsia="tr-TR"/>
              </w:rPr>
              <w:br/>
              <w:t>Dosya No : 35895</w:t>
            </w:r>
            <w:r w:rsidRPr="00463F19">
              <w:rPr>
                <w:rFonts w:ascii="Verdana" w:eastAsia="Times New Roman" w:hAnsi="Verdana" w:cs="Times New Roman"/>
                <w:sz w:val="20"/>
                <w:szCs w:val="20"/>
                <w:lang w:eastAsia="tr-TR"/>
              </w:rPr>
              <w:br/>
              <w:t>Tutanak No : 36694</w:t>
            </w:r>
            <w:r w:rsidRPr="00463F19">
              <w:rPr>
                <w:rFonts w:ascii="Verdana" w:eastAsia="Times New Roman" w:hAnsi="Verdana" w:cs="Times New Roman"/>
                <w:sz w:val="20"/>
                <w:szCs w:val="20"/>
                <w:lang w:eastAsia="tr-TR"/>
              </w:rPr>
              <w:br/>
              <w:t xml:space="preserve">Tutanak Tarihi : 12.03.2013 </w:t>
            </w:r>
            <w:r w:rsidRPr="00463F19">
              <w:rPr>
                <w:rFonts w:ascii="Times New Roman" w:eastAsia="Times New Roman" w:hAnsi="Times New Roman" w:cs="Times New Roman"/>
                <w:sz w:val="24"/>
                <w:szCs w:val="24"/>
                <w:lang w:eastAsia="tr-TR"/>
              </w:rPr>
              <w:br/>
            </w:r>
            <w:r w:rsidRPr="00463F19">
              <w:rPr>
                <w:rFonts w:ascii="Times New Roman" w:eastAsia="Times New Roman" w:hAnsi="Times New Roman" w:cs="Times New Roman"/>
                <w:sz w:val="24"/>
                <w:szCs w:val="24"/>
                <w:lang w:eastAsia="tr-TR"/>
              </w:rPr>
              <w:br/>
            </w:r>
            <w:r w:rsidRPr="00463F19">
              <w:rPr>
                <w:rFonts w:ascii="Verdana" w:eastAsia="Times New Roman" w:hAnsi="Verdana" w:cs="Times New Roman"/>
                <w:sz w:val="20"/>
                <w:szCs w:val="20"/>
                <w:lang w:eastAsia="tr-TR"/>
              </w:rPr>
              <w:t>Dosyada mevcut belgelerin okunup incelenmesinden sonra gereği görüşüldü;</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1314 sayılı ilamın 4. maddesi ile Uludağ Üniversitesi Rektörlüğe Bağlı Bölümler’de Bölüm Başkan Yardımcısı unvanıyla çalışan okutman Hayrettin ŞAHİN’e ait haftalık ders yükünün, hatalı hesaplandığı gerekçesiyle 1.404,12 YTL’nin tazminine ilişkin hüküm tesis edilmiştir.</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Dilekçiler temyiz dilekçelerinde özetle; Rektörlüğe Bağlı Bölümlerin; Atatürk İlkeleri ve İnkılâp Tarihi Bölüm Başkanlığı, Türk Dili Bölüm Başkanlığı, Güzel Sanatlar Bölüm Başkanlığı, Beden Eğitimi Bölüm Başkanlığı ve Enformatik Bölüm Başkanlığı olmak üzere 5 bölüm başkanlığından oluşmakta olduğunu, tüm bu bölümlerin idari ve mali işleri (maaş, ek ders, Satın alma ve diğer idari ve mali işler) ile ilgili olarak Atatürk İlkeleri ve İnkılâp Tarihi Bölüm Başkanlığının görevlendirilmiş ve Bölüm Başkan Yardımcısı unvanıyla çalışan Okutman Hayrettin ŞAHİN'in de harcama yetkilisi ve gerçekleştirme görevlisi olarak görevlendirilmiş olduğunu (2008 yılı içerisinde ayrı dönemlerde), bölümlerin doğrudan Rektöre bağlı olarak öğretim hizmetini sürdürmekte olup; fakültelerdeki bölümlerden farklı olduğunu, fakültelerdeki bölüm başkan yardımcılarının harcama yetkilisi ve gerçekleştirme görevlisi olarak görev yapmayacaklarını, örgüt şemasında da görüldüğü gibi Rektörlüğe Bağlı Bölümlerin enstitü, fakülte, yüksekokullar ve meslek yüksekokullarıyla aynı statüde hizmet vermekte olduğunu, Enstitü müdür yardımcıları ve yüksekokul müdür yardımcılarında ders yükünün yarı yarıya indirilmekte olduğunu, bu nedenden dolayı da Bölüm Başkan Yardımcısı Hayrettin ŞAHİN'in ders yükünün 12 saat yerine 6 saat olarak hesaplandığını, dilekçe ekindeki üniversite örgüt şemasında da görüldüğü üzere Rektörlüğe Bağlı Bölümlerin direk rektöre bağlı olup, Bölüm başkanının dekanlar ve yüksekokul müdürleriyle aynı statüde; başkan yardımcısının da dekan yardımcısı ve müdür yardımcısıyla aynı statüde olduğunu, bu nedenle bölüm başkanının harcama yetkilisi olarak, yardımcısının da gerçekleştirme görevlisi olarak imza yetkisine sahip olduğunu, bölümlerde bölüm başkan yardımcısı unvanıyla çalışan okutman Hayrettin ŞAHİN’in yürüttüğü idari ve mali işler yükü ile sorumluluklarından dolayı yüksekokul ve meslek yüksekokulları müdür yardımcılarıyla aynı sorumlulukları taşımakta olduğunu, buna ilave olarak dört bölümün daha iş yükünü üstlenmekte olduğunu, bölümlerin organizasyon şemasında da görüldüğü gibi daire başkanlığı (ilamda daire başkanlığı olduğu belirtilmiş) olmadığını ve tüm bu gerekçelerle 1314 sayılı ilamın 4. maddesine istinaden verilen tazmin hükmünün kaldırılması hususunda temyiz dilekçelerinin kabulünü arz etmişlerdir.</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 xml:space="preserve">Başsavcılık karşılamasında, 16.09.2005 tarihli Yükseköğretim Kurul Başkanlığı </w:t>
            </w:r>
            <w:r w:rsidRPr="00463F19">
              <w:rPr>
                <w:rFonts w:ascii="Verdana" w:eastAsia="Times New Roman" w:hAnsi="Verdana" w:cs="Times New Roman"/>
                <w:sz w:val="20"/>
                <w:szCs w:val="20"/>
                <w:lang w:eastAsia="tr-TR"/>
              </w:rPr>
              <w:lastRenderedPageBreak/>
              <w:t>Genel Kurul Toplantısında Alınan Karar uyarınca “okutman”ların haftalık ders yükü 12 saat olarak belirlendiği ve yine aynı kararın (c) bendinde ise haftalık ders yüklerinin istisnaları olarak “Rektör, dekan, enstitü ve yüksekokul müdürleri, bunların yardımcıları ile bölüm başkanları” tek tek sayıldığı belirtilmek suretiyle bölüm başkan yardımcısı unvanı ile çalışanların bu madde kapsamında kabul edilmelerinin alınan karara aykırı olduğundan bahisle okutman konumundaki kişinin haftalık ders yükü 12 saat olduğundan Daire Kararının onanmasına karar verilmesinin uygun olacağı mütalaa edilmiştir.</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2914 sayılı Yüksek Öğretim Personel Kanunu’nun Ek Ders Ücreti ödemelerini içeren 11 inci maddesi, okutman unvanının ek ders göstergesini 160 olarak belirtip, ek ders ücretinin, belirlenen göstergenin, Devlet Memurları Kanununa göre, aylıklar için saptanan katsayı ile çarpımından oluştuğunu ifade etmiştir.</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Ders Yükü Tespiti ve Ek Ders Ücreti Ödemelerinde Uyulacak Esaslar başlıklı 16/9/2005 tarihli Yükseköğretim Kurulu Başkanlığı Genel Kurul Toplantısında Alınan Karar ‘ın, “Ders Yükleri ve Ücret Karşılığı Okutabilecekleri Ek Ders Saatleri” başlıklı 1 inci maddesinin a bendinde de; ders yükü ve ek ders saatleri belirtilerek; ders yükü ve ek ders saatleri tablosuna yer verilmiş olup, söz konusu bu tabloda görev unvanları okutman olarak sayılanların haftalık ders yükü 12 saat olarak belirlenmiştir.</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Aynı kararın c bendinde ise, yukarıda belirtilen tabloda yer alan haftalık ders yüklerinin istisnaları sayılmıştır. Buna göre;</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c) Rektör, dekan, enstitü ve yüksekokul müdürleri için haftalık ders yükü zorunluluğu aranmaz, bunların yardımcıları ile bölüm başkanlarının haftalık ders yükü yukarıda belirtilen yükün yarısı kadardır.” hükmü yer almaktadır.</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 xml:space="preserve">Yukarıdaki mevzuat hükmü uyarınca, sadece; rektör, dekan, enstitü ve yüksekokul müdürleri ile bunların yardımcıları ile bölüm başkanları unvanlarına sahip kişiler için anılan tabloda belirtilen haftalık ders yükleri, belirtilen yükün yarısı kadardır. </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Ancak, Rektörlüğe bağlı bölümlerde Bölüm Başkan Yardımcısı unvanıyla çalışan Okutman Hayrettin ŞAHİN’e ait haftalık ders yükü hesaplanırken; okutman unvanından kaynaklanan 12 saat yerine, 6 saatin esas alındığı görülmüştür. Oysa ilgili kararda belirtilen haftalık ders yükünün yarısının esas alınması, bölüm başkan yardımcısı unvanını kapsamamaktadır. Dolayısıyla, Okutman Hayrettin ŞAHİN’in haftalık ders yükünün 12 saat olarak hesaplanması gerekmektedir.</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 xml:space="preserve">Öte yandan dilekçinin dilekçesinde iddia ettiği Rektörlüğe Bağlı Atatürk İlkeleri ve İnkılâp Tarihi Bölümünde Bölüm Başkan Yardımcısı unvanıyla çalışan Okutman Hayrettin ŞAHİN'in Rektörlüğe bağlı diğer bölümlerde de olmak üzere harcama yetkilisi ve gerçekleştirme görevlisi olarak görevlendirilmiş olması (2008 yılı içerisinde ayrı dönemlerde); dolayısıyla idari ve mali birtakım sorumluluklar alması, bölümlerin doğrudan Rektöre bağlı olarak öğretim hizmetini sürdürerek; fakültelerdeki bölümlerden farklı bir nitelikte olması ve örgüt şemasında Rektörlüğe Bağlı Bölümlerin enstitü, fakülte, yüksekokullar ve meslek yüksekokullarıyla aynı hizada olması, bu bölümlerde görevli bölüm başkanlarına dekanlar ve yüksekokul müdürlerine; başkan yardımcılarına da dekan yardımcıları ve müdür yardımcılarına uygulanan esaslar üzerinden ek ders ücreti ödenmesi anlamına gelmemektedir. Çünkü mevzuat hükümleri öğretim elemanlarının (okutmanların) ve idari görevde bulunan öğretim elemanlarının (okutmanların) ders yükü tespitini açık bir şekilde belirlemiştir. Adı geçen hükümler dışında Rektörlüğe bağlı birimlerde (bölümlerde) görevli öğretim elemanlarının </w:t>
            </w:r>
            <w:r w:rsidRPr="00463F19">
              <w:rPr>
                <w:rFonts w:ascii="Verdana" w:eastAsia="Times New Roman" w:hAnsi="Verdana" w:cs="Times New Roman"/>
                <w:sz w:val="20"/>
                <w:szCs w:val="20"/>
                <w:lang w:eastAsia="tr-TR"/>
              </w:rPr>
              <w:lastRenderedPageBreak/>
              <w:t>(okutmanların) idari bir görev almaları halinde ders yükü esaslarının farklı bir şekilde tespit edileceğine dair başkaca mevzuat hükmü bulunmamaktadır. Bu nedenle Enstitü müdür yardımcıları ve yüksekokul müdür yardımcılarında ders yükünün yarı yarıya indirilmekte olduğundan bahisle, Bölüm Başkan Yardımcısı Okutman Hayrettin ŞAHİN'in de bu statüde olduğunun gerekçe gösterilmesi suretiyle ders yükünün 12 saat yerine 6 saat üzerinden hesaplanması yukarıda belirtilen mevzuat hükümleri ile bağdaşmamaktadır.</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 xml:space="preserve">Bu itibarla dilekçilerin iddialarının reddi ile 1314 sayılı ilamın 4. maddesiyle verilen 1.404,12 YTL’nin tazminine ilişkin hükmün TASDİKİNE, </w:t>
            </w:r>
            <w:r w:rsidRPr="00463F19">
              <w:rPr>
                <w:rFonts w:ascii="Verdana" w:eastAsia="Times New Roman" w:hAnsi="Verdana" w:cs="Times New Roman"/>
                <w:sz w:val="20"/>
                <w:szCs w:val="20"/>
                <w:lang w:eastAsia="tr-TR"/>
              </w:rPr>
              <w:br/>
            </w:r>
            <w:r w:rsidRPr="00463F19">
              <w:rPr>
                <w:rFonts w:ascii="Verdana" w:eastAsia="Times New Roman" w:hAnsi="Verdana" w:cs="Times New Roman"/>
                <w:sz w:val="20"/>
                <w:szCs w:val="20"/>
                <w:lang w:eastAsia="tr-TR"/>
              </w:rPr>
              <w:br/>
              <w:t>Karar verildiği 12.03.2013 tarih ve 36694 sayılı tutanakta yazılı olmakla işbu ilam tanzim kılındı.</w:t>
            </w:r>
          </w:p>
        </w:tc>
      </w:tr>
    </w:tbl>
    <w:p w:rsidR="00463F19" w:rsidRPr="00463F19" w:rsidRDefault="00463F19" w:rsidP="00463F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63F19">
        <w:rPr>
          <w:rFonts w:ascii="Times New Roman" w:eastAsia="Times New Roman" w:hAnsi="Times New Roman" w:cs="Times New Roman"/>
          <w:sz w:val="24"/>
          <w:szCs w:val="24"/>
          <w:lang w:eastAsia="tr-TR"/>
        </w:rPr>
        <w:lastRenderedPageBreak/>
        <w:br/>
      </w:r>
      <w:r w:rsidRPr="00463F19">
        <w:rPr>
          <w:rFonts w:ascii="Times New Roman" w:eastAsia="Times New Roman" w:hAnsi="Times New Roman" w:cs="Times New Roman"/>
          <w:sz w:val="24"/>
          <w:szCs w:val="24"/>
          <w:lang w:eastAsia="tr-TR"/>
        </w:rPr>
        <w:br/>
      </w:r>
      <w:r w:rsidRPr="00463F19">
        <w:rPr>
          <w:rFonts w:ascii="Times New Roman" w:eastAsia="Times New Roman" w:hAnsi="Times New Roman" w:cs="Times New Roman"/>
          <w:sz w:val="24"/>
          <w:szCs w:val="24"/>
          <w:lang w:eastAsia="tr-TR"/>
        </w:rPr>
        <w:br/>
      </w:r>
      <w:r w:rsidRPr="00463F19">
        <w:rPr>
          <w:rFonts w:ascii="Times New Roman" w:eastAsia="Times New Roman" w:hAnsi="Times New Roman" w:cs="Times New Roman"/>
          <w:sz w:val="24"/>
          <w:szCs w:val="24"/>
          <w:lang w:eastAsia="tr-TR"/>
        </w:rPr>
        <w:br/>
      </w:r>
      <w:r w:rsidRPr="00463F19">
        <w:rPr>
          <w:rFonts w:ascii="Times New Roman" w:eastAsia="Times New Roman" w:hAnsi="Times New Roman" w:cs="Times New Roman"/>
          <w:sz w:val="24"/>
          <w:szCs w:val="24"/>
          <w:lang w:eastAsia="tr-TR"/>
        </w:rPr>
        <w:br/>
      </w:r>
      <w:r w:rsidRPr="00463F19">
        <w:rPr>
          <w:rFonts w:ascii="Verdana" w:eastAsia="Times New Roman" w:hAnsi="Verdana" w:cs="Times New Roman"/>
          <w:color w:val="CAE4FF"/>
          <w:sz w:val="15"/>
          <w:szCs w:val="15"/>
          <w:lang w:eastAsia="tr-TR"/>
        </w:rPr>
        <w:t xml:space="preserve">298458 </w:t>
      </w:r>
    </w:p>
    <w:p w:rsidR="008E0747" w:rsidRDefault="008E0747">
      <w:bookmarkStart w:id="0" w:name="_GoBack"/>
      <w:bookmarkEnd w:id="0"/>
    </w:p>
    <w:sectPr w:rsidR="008E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38"/>
    <w:rsid w:val="0001469D"/>
    <w:rsid w:val="00026C19"/>
    <w:rsid w:val="000323D2"/>
    <w:rsid w:val="0004486A"/>
    <w:rsid w:val="000A514E"/>
    <w:rsid w:val="000B0414"/>
    <w:rsid w:val="000C68BA"/>
    <w:rsid w:val="000D03F4"/>
    <w:rsid w:val="000D52E1"/>
    <w:rsid w:val="000F157C"/>
    <w:rsid w:val="000F39B4"/>
    <w:rsid w:val="00131EA7"/>
    <w:rsid w:val="00146EC8"/>
    <w:rsid w:val="001576D6"/>
    <w:rsid w:val="00165552"/>
    <w:rsid w:val="00190D5A"/>
    <w:rsid w:val="00193331"/>
    <w:rsid w:val="001C7D33"/>
    <w:rsid w:val="001F4660"/>
    <w:rsid w:val="00202227"/>
    <w:rsid w:val="0020226E"/>
    <w:rsid w:val="00207A47"/>
    <w:rsid w:val="00273CE2"/>
    <w:rsid w:val="002945C3"/>
    <w:rsid w:val="002C3096"/>
    <w:rsid w:val="002C486F"/>
    <w:rsid w:val="002D5EAF"/>
    <w:rsid w:val="00356C8D"/>
    <w:rsid w:val="00360296"/>
    <w:rsid w:val="00360464"/>
    <w:rsid w:val="003737AF"/>
    <w:rsid w:val="00376FD1"/>
    <w:rsid w:val="00385F8C"/>
    <w:rsid w:val="00394B7B"/>
    <w:rsid w:val="003D41DA"/>
    <w:rsid w:val="003E6F73"/>
    <w:rsid w:val="00413814"/>
    <w:rsid w:val="00437738"/>
    <w:rsid w:val="00463F19"/>
    <w:rsid w:val="00473D6A"/>
    <w:rsid w:val="00473F9E"/>
    <w:rsid w:val="004750E5"/>
    <w:rsid w:val="00483706"/>
    <w:rsid w:val="004B2703"/>
    <w:rsid w:val="00501668"/>
    <w:rsid w:val="005152A6"/>
    <w:rsid w:val="00516240"/>
    <w:rsid w:val="00556C3B"/>
    <w:rsid w:val="00580467"/>
    <w:rsid w:val="00583F11"/>
    <w:rsid w:val="00594602"/>
    <w:rsid w:val="00594965"/>
    <w:rsid w:val="005A15A0"/>
    <w:rsid w:val="005A2DEE"/>
    <w:rsid w:val="005B6AE9"/>
    <w:rsid w:val="006110EA"/>
    <w:rsid w:val="00657E20"/>
    <w:rsid w:val="00665674"/>
    <w:rsid w:val="006925FD"/>
    <w:rsid w:val="00696888"/>
    <w:rsid w:val="006A3AD5"/>
    <w:rsid w:val="006B6F9E"/>
    <w:rsid w:val="006C0F86"/>
    <w:rsid w:val="00705B6B"/>
    <w:rsid w:val="007204AC"/>
    <w:rsid w:val="00734A66"/>
    <w:rsid w:val="00735633"/>
    <w:rsid w:val="00751765"/>
    <w:rsid w:val="00763C52"/>
    <w:rsid w:val="00772C7B"/>
    <w:rsid w:val="00782CF7"/>
    <w:rsid w:val="00795168"/>
    <w:rsid w:val="007C0CF2"/>
    <w:rsid w:val="007C7035"/>
    <w:rsid w:val="007E2989"/>
    <w:rsid w:val="007F1E02"/>
    <w:rsid w:val="00800A73"/>
    <w:rsid w:val="00802C29"/>
    <w:rsid w:val="00830B5E"/>
    <w:rsid w:val="00851808"/>
    <w:rsid w:val="00855623"/>
    <w:rsid w:val="00857EAA"/>
    <w:rsid w:val="008635F1"/>
    <w:rsid w:val="008668D9"/>
    <w:rsid w:val="00877E92"/>
    <w:rsid w:val="0088522A"/>
    <w:rsid w:val="008A6BA8"/>
    <w:rsid w:val="008C29AC"/>
    <w:rsid w:val="008C7F29"/>
    <w:rsid w:val="008E0747"/>
    <w:rsid w:val="00905736"/>
    <w:rsid w:val="00922F10"/>
    <w:rsid w:val="00942904"/>
    <w:rsid w:val="00947627"/>
    <w:rsid w:val="00980BD4"/>
    <w:rsid w:val="00984505"/>
    <w:rsid w:val="009A630B"/>
    <w:rsid w:val="009A7FB5"/>
    <w:rsid w:val="009B6D0E"/>
    <w:rsid w:val="009C7F53"/>
    <w:rsid w:val="009F0228"/>
    <w:rsid w:val="00A20CB5"/>
    <w:rsid w:val="00A3134E"/>
    <w:rsid w:val="00A40B87"/>
    <w:rsid w:val="00A503DE"/>
    <w:rsid w:val="00A54BD5"/>
    <w:rsid w:val="00A61592"/>
    <w:rsid w:val="00A9183A"/>
    <w:rsid w:val="00AA5B7B"/>
    <w:rsid w:val="00AB3783"/>
    <w:rsid w:val="00AC0A07"/>
    <w:rsid w:val="00AD4171"/>
    <w:rsid w:val="00AD484D"/>
    <w:rsid w:val="00AE6FDE"/>
    <w:rsid w:val="00AF3D6D"/>
    <w:rsid w:val="00AF4CA7"/>
    <w:rsid w:val="00B0225E"/>
    <w:rsid w:val="00B33EDB"/>
    <w:rsid w:val="00B34684"/>
    <w:rsid w:val="00B356EA"/>
    <w:rsid w:val="00B42E12"/>
    <w:rsid w:val="00B42E20"/>
    <w:rsid w:val="00B475AC"/>
    <w:rsid w:val="00B550AF"/>
    <w:rsid w:val="00B813AD"/>
    <w:rsid w:val="00B96646"/>
    <w:rsid w:val="00B9690C"/>
    <w:rsid w:val="00BD0C07"/>
    <w:rsid w:val="00BE36DE"/>
    <w:rsid w:val="00C44B97"/>
    <w:rsid w:val="00C53F58"/>
    <w:rsid w:val="00C7170A"/>
    <w:rsid w:val="00C74B40"/>
    <w:rsid w:val="00C75350"/>
    <w:rsid w:val="00C75546"/>
    <w:rsid w:val="00CA23B5"/>
    <w:rsid w:val="00CB10DE"/>
    <w:rsid w:val="00CE5242"/>
    <w:rsid w:val="00CF3240"/>
    <w:rsid w:val="00CF7D5F"/>
    <w:rsid w:val="00D03400"/>
    <w:rsid w:val="00D60D46"/>
    <w:rsid w:val="00D71E2E"/>
    <w:rsid w:val="00D744DE"/>
    <w:rsid w:val="00DA150A"/>
    <w:rsid w:val="00DB3166"/>
    <w:rsid w:val="00DB5BD5"/>
    <w:rsid w:val="00DB64AD"/>
    <w:rsid w:val="00DB76C4"/>
    <w:rsid w:val="00DE0D44"/>
    <w:rsid w:val="00E06F15"/>
    <w:rsid w:val="00E0765F"/>
    <w:rsid w:val="00E54B9E"/>
    <w:rsid w:val="00EA4CC1"/>
    <w:rsid w:val="00EC7FCC"/>
    <w:rsid w:val="00ED50D5"/>
    <w:rsid w:val="00EE0736"/>
    <w:rsid w:val="00EF56EA"/>
    <w:rsid w:val="00F04360"/>
    <w:rsid w:val="00F04BAE"/>
    <w:rsid w:val="00F06952"/>
    <w:rsid w:val="00F15565"/>
    <w:rsid w:val="00F2430C"/>
    <w:rsid w:val="00F472C5"/>
    <w:rsid w:val="00F47900"/>
    <w:rsid w:val="00F852AC"/>
    <w:rsid w:val="00FA4C2C"/>
    <w:rsid w:val="00FA7895"/>
    <w:rsid w:val="00FC2C08"/>
    <w:rsid w:val="00FE0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2015-01-07T08:18:00Z</dcterms:created>
  <dcterms:modified xsi:type="dcterms:W3CDTF">2015-01-07T08:18:00Z</dcterms:modified>
</cp:coreProperties>
</file>